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AED9" w14:textId="5ECE3D89" w:rsidR="002D6734" w:rsidRPr="006966F2" w:rsidRDefault="002D6734" w:rsidP="006966F2">
      <w:pPr>
        <w:snapToGri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Практика сабағы 13.</w:t>
      </w:r>
      <w:r w:rsidR="006966F2" w:rsidRPr="006966F2">
        <w:rPr>
          <w:sz w:val="22"/>
          <w:szCs w:val="22"/>
          <w:lang w:val="kk-KZ"/>
        </w:rPr>
        <w:t xml:space="preserve"> </w:t>
      </w:r>
      <w:r w:rsidR="006966F2" w:rsidRPr="006966F2">
        <w:rPr>
          <w:rFonts w:ascii="Times New Roman" w:hAnsi="Times New Roman" w:cs="Times New Roman"/>
          <w:sz w:val="28"/>
          <w:szCs w:val="28"/>
          <w:lang w:val="kk-KZ"/>
        </w:rPr>
        <w:t>Мемлекеттік басқару жүйесіндегі</w:t>
      </w:r>
      <w:r w:rsidR="006966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66F2" w:rsidRPr="006966F2">
        <w:rPr>
          <w:rFonts w:ascii="Times New Roman" w:hAnsi="Times New Roman" w:cs="Times New Roman"/>
          <w:sz w:val="28"/>
          <w:szCs w:val="28"/>
          <w:lang w:val="kk-KZ"/>
        </w:rPr>
        <w:t>стратегиялық бенчмаркетинг</w:t>
      </w:r>
    </w:p>
    <w:p w14:paraId="398CED91" w14:textId="77777777" w:rsidR="006C4E12" w:rsidRPr="006C4E12" w:rsidRDefault="006C4E12" w:rsidP="006C4E12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C4E12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Сұрақтар:</w:t>
      </w:r>
    </w:p>
    <w:p w14:paraId="6E82AD97" w14:textId="77777777" w:rsidR="006C4E12" w:rsidRPr="006C4E12" w:rsidRDefault="006C4E12" w:rsidP="006C4E12">
      <w:pPr>
        <w:numPr>
          <w:ilvl w:val="1"/>
          <w:numId w:val="1"/>
        </w:numPr>
        <w:spacing w:line="256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C4E12">
        <w:rPr>
          <w:rFonts w:ascii="Times New Roman" w:hAnsi="Times New Roman" w:cs="Times New Roman"/>
          <w:sz w:val="24"/>
          <w:szCs w:val="24"/>
          <w:lang w:val="kk-KZ" w:eastAsia="ar-SA"/>
        </w:rPr>
        <w:t>Стратегиялық бенчмаркетинг</w:t>
      </w:r>
      <w:r w:rsidRPr="006C4E12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 </w:t>
      </w:r>
    </w:p>
    <w:p w14:paraId="264A6980" w14:textId="77777777" w:rsidR="006C4E12" w:rsidRPr="006C4E12" w:rsidRDefault="006C4E12" w:rsidP="006C4E12">
      <w:pPr>
        <w:numPr>
          <w:ilvl w:val="1"/>
          <w:numId w:val="1"/>
        </w:numPr>
        <w:spacing w:line="256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C4E12">
        <w:rPr>
          <w:rFonts w:ascii="Times New Roman" w:hAnsi="Times New Roman" w:cs="Times New Roman"/>
          <w:sz w:val="24"/>
          <w:szCs w:val="24"/>
          <w:lang w:val="kk-KZ" w:eastAsia="ar-SA"/>
        </w:rPr>
        <w:t>Стратегиялық бенчмаркетинг</w:t>
      </w:r>
      <w:r w:rsidRPr="006C4E12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тің ерекшеліктері</w:t>
      </w:r>
    </w:p>
    <w:p w14:paraId="0FBE1FDB" w14:textId="77777777" w:rsidR="006C4E12" w:rsidRPr="006C4E12" w:rsidRDefault="006C4E12" w:rsidP="006C4E12">
      <w:pPr>
        <w:spacing w:line="256" w:lineRule="auto"/>
        <w:ind w:left="1440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BD8CB8F" w14:textId="69D13D52" w:rsidR="006C4E12" w:rsidRPr="006C4E12" w:rsidRDefault="006C4E12" w:rsidP="006C4E12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</w:t>
      </w:r>
      <w:r w:rsidRPr="006C4E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мақсаты-</w:t>
      </w:r>
      <w:r w:rsidRPr="006C4E12">
        <w:rPr>
          <w:rFonts w:ascii="Times New Roman" w:hAnsi="Times New Roman" w:cs="Times New Roman"/>
          <w:sz w:val="24"/>
          <w:szCs w:val="24"/>
          <w:lang w:val="kk-KZ"/>
        </w:rPr>
        <w:t xml:space="preserve"> докторанттарға</w:t>
      </w:r>
      <w:r w:rsidRPr="006C4E12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6C4E12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стратегиялық бенчмаркетинг    экономикалық маңызын  талқылау                </w:t>
      </w:r>
    </w:p>
    <w:p w14:paraId="1705ECDE" w14:textId="77777777" w:rsidR="006C4E12" w:rsidRPr="006C4E12" w:rsidRDefault="006C4E12" w:rsidP="006C4E12">
      <w:pPr>
        <w:spacing w:line="256" w:lineRule="auto"/>
        <w:ind w:left="1440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95CB1CD" w14:textId="13676047" w:rsidR="006C4E12" w:rsidRPr="006C4E12" w:rsidRDefault="006C4E12" w:rsidP="006C4E12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Сабақтың </w:t>
      </w:r>
      <w:r w:rsidRPr="006C4E1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қысқаша мазмұны</w:t>
      </w:r>
    </w:p>
    <w:p w14:paraId="541DE54E" w14:textId="77777777" w:rsidR="006C4E12" w:rsidRPr="006C4E12" w:rsidRDefault="006C4E12" w:rsidP="006C4E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9F2C764" w14:textId="77777777" w:rsidR="006C4E12" w:rsidRPr="006C4E12" w:rsidRDefault="006C4E12" w:rsidP="006C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Бенчмаркинг </w:t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— өз жұмысын жақсарту үшін бәсекелестердің тиімді жұмыс істеуін үлгіге алу процесі. Бенчмаркинг - қол жетімді көрсеткіштердің </w:t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instrText xml:space="preserve"> HYPERLINK "https://melimde.com/azastan-respublikasi-bilim-jene-filim-ministrligi-v33.html" </w:instrText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салыстырмалы талдауы</w:t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бизнесіңіздің тиімді жұмысының ең жақсы мысалдарын анықтау және қолдану. Көптеген жалпы сұлбаларды кез-келген сауда өкілдігі үшін пайдалануға болатын болса да, ұқсас салада жұмыс істейтін компаниялардың жетістіктерін жиі зерттеңіз.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процесс:</w:t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1D809F1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ағалау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28022863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алыстыру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14:paraId="75D41C87" w14:textId="77777777" w:rsidR="006C4E12" w:rsidRPr="006C4E12" w:rsidRDefault="006C4E12" w:rsidP="006C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Бенчмаркинг -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стратегиялық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жоспарлаудың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балама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Ондағы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жеткен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жетістікке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жүзеге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асырғаннан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бәсекелестердің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өнімділік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тиімділік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табыстылық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көрсеткіштеріне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негізделеді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Бенчмаркинг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әдісінің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ерекшелігі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стратегиялық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жоспарлауда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салалық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талдаумен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бәсекелестердің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жағдайын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біріктіруінде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575A95" w14:textId="77777777" w:rsidR="006C4E12" w:rsidRPr="006C4E12" w:rsidRDefault="006C4E12" w:rsidP="006C4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«International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Benchmarking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Clearinghouse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компаниясының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басшысы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Кіші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Джейсон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Грейсонның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пайымдауынша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бенчмаркингтің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танымалдылығына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жаһандық</w:t>
      </w:r>
      <w:proofErr w:type="spellEnd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fldChar w:fldCharType="begin"/>
      </w:r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instrText xml:space="preserve"> HYPERLINK "https://melimde.com/1-kesiporindafi-arji-menedjmentini-besekelestik-jafdajdafi-mai.html" </w:instrText>
      </w:r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fldChar w:fldCharType="separate"/>
      </w:r>
      <w:r w:rsidRPr="006C4E12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u w:val="single"/>
          <w:lang w:eastAsia="ru-RU"/>
        </w:rPr>
        <w:t>бәсекелестік</w:t>
      </w:r>
      <w:proofErr w:type="spellEnd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fldChar w:fldCharType="end"/>
      </w:r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сапа </w:t>
      </w:r>
      <w:proofErr w:type="spellStart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талабы</w:t>
      </w:r>
      <w:proofErr w:type="spellEnd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жанжақты</w:t>
      </w:r>
      <w:proofErr w:type="spellEnd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бейімделу</w:t>
      </w:r>
      <w:proofErr w:type="spellEnd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себепкер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болды</w:t>
      </w:r>
      <w:proofErr w:type="spellEnd"/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6C4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Қазіргі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таңда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бенчмаркингтің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Оларға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33AE390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6538F88E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әсекеге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қабілеттілік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5A45958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ызметтік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1D04652E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роцестік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4CAA51E1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аһандық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3D13F91C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алпы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42486EE1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ығын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FD2810E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інездемелік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79ADF5B0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ұтынушы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1B747AB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тратегиялық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0F451FCD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апшаң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бенчмаркинг;</w:t>
      </w:r>
    </w:p>
    <w:p w14:paraId="69E1A32F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а</w:t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бенчмаркинг,  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3E2642" w14:textId="77777777" w:rsidR="006C4E12" w:rsidRPr="006C4E12" w:rsidRDefault="006C4E12" w:rsidP="006C4E1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C4E1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</w:t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енчмаркинг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тің </w:t>
      </w:r>
      <w:r w:rsidRPr="006C4E1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артықшылықтары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кемшіліктері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</w:p>
    <w:p w14:paraId="3B4E5FD5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көптеген әдістерді, бенчмаркингті және оның күшті және әлсіз жақтары қандай екенін анықтауға тырысады. Негізгі оң аспект - бұл өз құзыреті үшін талап етілетін салада үлкен тәжірибесі бар бәсекелестердің немесе фирмалардың әрекеттерін дұрыс пайдалану.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кемшіліктері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ақпараттың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күрделі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шығарылуында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өйткені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оны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ешкім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бөліспек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8BF4E83" w14:textId="77777777" w:rsidR="006C4E12" w:rsidRPr="006C4E12" w:rsidRDefault="006C4E12" w:rsidP="006C4E1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Бенчмаркингтің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тиімділігі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сондай-ақ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осы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мәселелердің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ескерілетініне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E33D326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шетелдік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компаниялардың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мысалдары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әрдайым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"https://melimde.com/jospari-oitu-edisteri-didaktikali-kategoriyalardi-biri-oitu-ed.html" </w:instrText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>отандық</w:t>
      </w:r>
      <w:proofErr w:type="spellEnd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>шындыққа</w:t>
      </w:r>
      <w:proofErr w:type="spellEnd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 xml:space="preserve"> сай </w:t>
      </w:r>
      <w:proofErr w:type="spellStart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>болмайды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53857A8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Қазақстан  нарығында фирманы анықтау қиын, ол мысал ретінде қабылданады.</w:t>
      </w:r>
    </w:p>
    <w:p w14:paraId="6D87B5CC" w14:textId="77777777" w:rsidR="006C4E12" w:rsidRPr="006C4E12" w:rsidRDefault="006C4E12" w:rsidP="006C4E1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C4E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C4E1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proofErr w:type="spellStart"/>
      <w:r w:rsidRPr="006C4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Бенчмаркингтің</w:t>
      </w:r>
      <w:proofErr w:type="spellEnd"/>
      <w:r w:rsidRPr="006C4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түрлері</w:t>
      </w:r>
      <w:proofErr w:type="spellEnd"/>
    </w:p>
    <w:p w14:paraId="0A565749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үгінде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отандық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еуропалық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нарықтарда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-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қатал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бәсекелестік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сондықтан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басқа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бизнесмендердің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бизнесті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істейтінін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ұмытпаңыз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Өйткені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тез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нарықтан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осы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жағдай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алғанша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бенчмаркинг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әдістерді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"https://melimde.com/saba-tairibi-ana-tilim-jalpi-masat.html" </w:instrText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>дұрыс</w:t>
      </w:r>
      <w:proofErr w:type="spellEnd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>іске</w:t>
      </w:r>
      <w:proofErr w:type="spellEnd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>асыра</w:t>
      </w:r>
      <w:proofErr w:type="spellEnd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6C4E12">
        <w:rPr>
          <w:rFonts w:ascii="Times New Roman" w:eastAsiaTheme="majorEastAsia" w:hAnsi="Times New Roman" w:cs="Times New Roman"/>
          <w:color w:val="0000FF"/>
          <w:sz w:val="28"/>
          <w:szCs w:val="28"/>
          <w:u w:val="single"/>
          <w:lang w:eastAsia="ru-RU"/>
        </w:rPr>
        <w:t>отырып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үлкен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көмек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бола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Зерттеушілер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бенчмаркингтің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бірнеше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түрлерін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ажыратады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D5F4EE2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Бәсекеге</w:t>
      </w:r>
      <w:proofErr w:type="spellEnd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қабілеттілікті</w:t>
      </w:r>
      <w:proofErr w:type="spellEnd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салыстыру</w:t>
      </w:r>
      <w:proofErr w:type="spellEnd"/>
      <w:r w:rsidRPr="006C4E12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6C4E1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өз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кәсіпорындарын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басқарудың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өнімдері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әдістерін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неғұрлым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табысты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табылатындармен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салыстыру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C4E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4E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- </w:t>
      </w:r>
      <w:proofErr w:type="spellStart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Ішкі</w:t>
      </w:r>
      <w:proofErr w:type="spellEnd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бенчмаркинг</w:t>
      </w:r>
      <w:r w:rsidRPr="006C4E12">
        <w:rPr>
          <w:rFonts w:ascii="Times New Roman" w:hAnsi="Times New Roman" w:cs="Times New Roman"/>
          <w:color w:val="000000"/>
          <w:sz w:val="28"/>
          <w:szCs w:val="28"/>
        </w:rPr>
        <w:t> .</w:t>
      </w:r>
      <w:proofErr w:type="gram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Кәсіпорындағы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ұқсас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бірліктермен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өндірістік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бірліктерді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салыстыру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C4E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4E1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Функционалдық</w:t>
      </w:r>
      <w:proofErr w:type="spellEnd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6C4E1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бенчмаркинг </w:t>
      </w:r>
      <w:r w:rsidRPr="006C4E1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салада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істейтін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әр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түрлі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ұйымдардың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функциялары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color w:val="000000"/>
          <w:sz w:val="28"/>
          <w:szCs w:val="28"/>
        </w:rPr>
        <w:t>салыстырылады</w:t>
      </w:r>
      <w:proofErr w:type="spellEnd"/>
      <w:r w:rsidRPr="006C4E1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C4E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4E1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C4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Бенчмаркингтің</w:t>
      </w:r>
      <w:proofErr w:type="spellEnd"/>
      <w:r w:rsidRPr="006C4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4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кезеңдері</w:t>
      </w:r>
      <w:proofErr w:type="spellEnd"/>
      <w:r w:rsidRPr="006C4E1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:</w:t>
      </w:r>
    </w:p>
    <w:p w14:paraId="3C61F2E4" w14:textId="77777777" w:rsidR="006C4E12" w:rsidRPr="006C4E12" w:rsidRDefault="006C4E12" w:rsidP="006C4E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4AFF6EA" w14:textId="77777777" w:rsidR="006C4E12" w:rsidRPr="006C4E12" w:rsidRDefault="006C4E12" w:rsidP="006C4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Бенчмаркинг дөңгелегі үнемі қозғалыста, оны өткізу кезеңдері инновацияларды ескере отырып өзгеруі мүмкін, бірақ іс-әрекеттің хронологиясында сақталуы керек. </w:t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бар:</w:t>
      </w:r>
    </w:p>
    <w:p w14:paraId="3DA01991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ақсартуға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мәселелерді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4201B01C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ең тәжірибелі компанияларды үлгі ретінде іздеу;</w:t>
      </w:r>
    </w:p>
    <w:p w14:paraId="55CDF33E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компанияңыздың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деректерін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талдау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58F97FE4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абысты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бизнесмендерге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материалдар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мәліметтерді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76AC3D05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қпаратты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салыстыру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оны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табысты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қолдану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ADD7EF" w14:textId="77777777" w:rsidR="006C4E12" w:rsidRPr="006C4E12" w:rsidRDefault="006C4E12" w:rsidP="006C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br/>
        <w:t>Талдау үшін, </w:t>
      </w:r>
      <w:r w:rsidRPr="006C4E1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C4E1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instrText xml:space="preserve"> HYPERLINK "https://melimde.com/tapsirma-sanmen-korsetilgen-bakteriya-rilisini-bolikterin-kem.html" </w:instrText>
      </w:r>
      <w:r w:rsidRPr="006C4E1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C4E1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кем дегенде</w:t>
      </w:r>
      <w:r w:rsidRPr="006C4E1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үш компанияны жалпылама суретке түсіру үшін жалдау керек. Ақпарат жинауды жоспарлауды жүзеге асырғанға дейін қамқорлыққа алу керек агенттік желіні құру талап етіледі.</w:t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6C4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Бенчмаркинг құралдары</w:t>
      </w:r>
    </w:p>
    <w:p w14:paraId="5041D40C" w14:textId="77777777" w:rsidR="006C4E12" w:rsidRPr="006C4E12" w:rsidRDefault="006C4E12" w:rsidP="006C4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Бенчмаркингтік құралдар көп, олардың қолданылуы қандай тапсырмалар қойылғанына байланысты. Көптеген адамдар негізгі сәтсіздікке бой алдырмайды - бұл әдіс бір уақытта емес, үздіксіз, себебі жағдай өзгереді және олармен бірге - бизнестегі қарсыластар қызметінің ерекшеліктері. Сондықтан сіз қолыңызды серпінге ұстап, икемді болуыңыз керек. Бенчмаркинг әдісі мыналарды қамтиды:</w:t>
      </w:r>
    </w:p>
    <w:p w14:paraId="0870C39A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тәжірибе алмасу шеңберінде жұмыс істеу;</w:t>
      </w:r>
    </w:p>
    <w:p w14:paraId="690CAC5B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компьютерлік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болжау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63D0EDA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жарнамалық және </w:t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instrText xml:space="preserve"> HYPERLINK "https://melimde.com/1-barali-aparat-raldari-izmetkerlerini-auimdastifi-jastar-ofam.html" </w:instrText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қоғамдық қатынастарды талдау</w:t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;</w:t>
      </w:r>
    </w:p>
    <w:p w14:paraId="0F6F9B56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сауалнамалар, сауалнама, фокус-топтарды жүргізу.</w:t>
      </w:r>
    </w:p>
    <w:p w14:paraId="47A6F96D" w14:textId="77777777" w:rsidR="006C4E12" w:rsidRPr="006C4E12" w:rsidRDefault="006C4E12" w:rsidP="006C4E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Теория мен практиканың көрсеткеніндей, оңтайлы жетістіктер, басқа салада жұмыс істейтін фирмалардың тәжірибесін және процесті салыстыра отырып, біріктірілген бенчмаркинг біріктірілген кезде пайда болады.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Мұндай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көрсеткіштерге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аударуыңыз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BBB9380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тауарлардың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бағасы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сапасы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әртүрлілігі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6168B97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қызмет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көрсету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деңгейі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9F5DD85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әлеуетті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"https://melimde.com/programma-forma-f-so-pgu-18-206-v7.html" </w:instrText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клиенттермен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байланыс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84023F6" w14:textId="77777777" w:rsidR="006C4E12" w:rsidRPr="006C4E12" w:rsidRDefault="006C4E12" w:rsidP="006C4E12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жеңілдіктер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жүйесі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жарнамалық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акциялар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жаңа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өнімдер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FB07CE3" w14:textId="77777777" w:rsidR="006C4E12" w:rsidRPr="006C4E12" w:rsidRDefault="006C4E12" w:rsidP="006C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Бенчмаркинг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көбінесе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көрсеткіштерді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қарапайым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салыстырумен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немесе</w:t>
      </w:r>
      <w:proofErr w:type="spellEnd"/>
      <w:r w:rsidRPr="006C4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бәсекелестікті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талдаумен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анықталады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Көрсеткіштерді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әдеттегі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уақыттық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нүктеге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қатысты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салыстырылады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аралығында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жүзеге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асырылады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Бәсекелестікті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талдау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аясында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бәсекелестермен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жасалады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Салыстыру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компания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салада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жетекші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алатындығын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позицияны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алуға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болатындығын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білуге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​​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Осы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позицияға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әкелетін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әрекеттер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процестер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содан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сіздің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кәсіпорныңызда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енгізіледі</w:t>
      </w:r>
      <w:proofErr w:type="spellEnd"/>
      <w:r w:rsidRPr="006C4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30B41F94" w14:textId="77777777" w:rsidR="006C4E12" w:rsidRPr="006C4E12" w:rsidRDefault="006C4E12" w:rsidP="006C4E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C4836" w14:textId="77777777" w:rsidR="006C4E12" w:rsidRPr="006C4E12" w:rsidRDefault="006C4E12" w:rsidP="006C4E12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C4E12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51451920" w14:textId="77777777" w:rsidR="00F07BF7" w:rsidRPr="00F07BF7" w:rsidRDefault="00F07BF7" w:rsidP="00F07BF7">
      <w:pPr>
        <w:numPr>
          <w:ilvl w:val="0"/>
          <w:numId w:val="6"/>
        </w:numPr>
        <w:spacing w:after="0" w:line="240" w:lineRule="auto"/>
        <w:ind w:left="0" w:firstLine="2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07BF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Біртүтас ұлт. Берекелі  қоғам."-Нұр-Сұлтан, 2022 ж., 1 қыркүйек</w:t>
      </w:r>
    </w:p>
    <w:p w14:paraId="62E1B2BF" w14:textId="77777777" w:rsidR="00F07BF7" w:rsidRPr="00F07BF7" w:rsidRDefault="00F07BF7" w:rsidP="00F07BF7">
      <w:pPr>
        <w:numPr>
          <w:ilvl w:val="0"/>
          <w:numId w:val="6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2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F07BF7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793263A" w14:textId="77777777" w:rsidR="00F07BF7" w:rsidRPr="00F07BF7" w:rsidRDefault="00F07BF7" w:rsidP="00F07BF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07BF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F07BF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332E3492" w14:textId="77777777" w:rsidR="00F07BF7" w:rsidRPr="00F07BF7" w:rsidRDefault="00F07BF7" w:rsidP="00F07BF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07BF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F07BF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0EA3930B" w14:textId="77777777" w:rsidR="00F07BF7" w:rsidRPr="00F07BF7" w:rsidRDefault="00F07BF7" w:rsidP="00F07BF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07BF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344CC3D8" w14:textId="77777777" w:rsidR="00F07BF7" w:rsidRPr="00F07BF7" w:rsidRDefault="00F07BF7" w:rsidP="00F07BF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07BF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Жатканбаев Е.Б. Государственное регулирование экономики: курс лекций. – Алматы: Қазақ университеті, 2021 – 206 с.</w:t>
      </w:r>
    </w:p>
    <w:p w14:paraId="00020DD0" w14:textId="77777777" w:rsidR="00F07BF7" w:rsidRPr="00F07BF7" w:rsidRDefault="00F07BF7" w:rsidP="00F07B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07BF7">
        <w:rPr>
          <w:rFonts w:ascii="Times New Roman" w:hAnsi="Times New Roman" w:cs="Times New Roman"/>
          <w:sz w:val="20"/>
          <w:szCs w:val="20"/>
          <w:lang w:val="kk-KZ"/>
        </w:rPr>
        <w:t>7. Казакова Н.А. Современный стратегический анализ -М.: Юрайт, 2021-469 с.</w:t>
      </w:r>
    </w:p>
    <w:p w14:paraId="69D89DF5" w14:textId="77777777" w:rsidR="00F07BF7" w:rsidRPr="00F07BF7" w:rsidRDefault="00F07BF7" w:rsidP="00F07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F07BF7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lastRenderedPageBreak/>
        <w:t>8. Макарова В.Л. Многомерный статический анализ, эконометрика и моделирование реальных процессов М.: ЦЭМИ РАН, 2021-129 с.</w:t>
      </w:r>
    </w:p>
    <w:p w14:paraId="36309F17" w14:textId="77777777" w:rsidR="00F07BF7" w:rsidRPr="00F07BF7" w:rsidRDefault="00F07BF7" w:rsidP="00F07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F07BF7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9. Роберт Грант Современный стратегический анализ- Санкт-Петербург: Питер, 2018-672 с.</w:t>
      </w:r>
    </w:p>
    <w:p w14:paraId="025409F4" w14:textId="77777777" w:rsidR="00F07BF7" w:rsidRPr="00F07BF7" w:rsidRDefault="00F07BF7" w:rsidP="00F07BF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07BF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 Понкин И.В. Теория государственного управления -М.: Инфра-М, 2021-529 с.</w:t>
      </w:r>
    </w:p>
    <w:p w14:paraId="6D0E8BE3" w14:textId="77777777" w:rsidR="00F07BF7" w:rsidRPr="00F07BF7" w:rsidRDefault="00F07BF7" w:rsidP="00F07BF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07BF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  Прудников А.С. Местное управление в зарубежных странах -М.: ЛитРес, 2022-272 с.</w:t>
      </w:r>
    </w:p>
    <w:p w14:paraId="621970C9" w14:textId="77777777" w:rsidR="00F07BF7" w:rsidRPr="00F07BF7" w:rsidRDefault="00F07BF7" w:rsidP="00F07BF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07BF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 Рой А.М. Основы государственного и муниципиального управления-Санкт-Перетург: Питер,  2019-432 с.</w:t>
      </w:r>
    </w:p>
    <w:p w14:paraId="0508C064" w14:textId="77777777" w:rsidR="00F07BF7" w:rsidRPr="00F07BF7" w:rsidRDefault="00F07BF7" w:rsidP="00F07BF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07BF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13.Станислав Липски: Основы государственного и муниципального управления-М.: КноРус, 2021-248 с.</w:t>
      </w:r>
    </w:p>
    <w:p w14:paraId="3BC968FC" w14:textId="77777777" w:rsidR="00F07BF7" w:rsidRPr="00F07BF7" w:rsidRDefault="00F07BF7" w:rsidP="00F07BF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07BF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Тараканов А.В., Скринченко Б.Л. Основы государственного и муниципального управления-М.: КноРус, 2022-341 с.</w:t>
      </w:r>
    </w:p>
    <w:p w14:paraId="38CD6F47" w14:textId="77777777" w:rsidR="00F07BF7" w:rsidRPr="00F07BF7" w:rsidRDefault="00F07BF7" w:rsidP="00F07BF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F07BF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</w:t>
      </w:r>
      <w:r w:rsidRPr="00F07BF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3C32C791" w14:textId="77777777" w:rsidR="00F07BF7" w:rsidRPr="00F07BF7" w:rsidRDefault="00F07BF7" w:rsidP="00F07BF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07BF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16.Чихладзе А.А., Ларичева Е.Н. - Местное самоуправление в единой системе публичной власти-- М.: ЮНИТИ-ДАНА, 2020. - с. 343.</w:t>
      </w:r>
    </w:p>
    <w:p w14:paraId="031ED82D" w14:textId="77777777" w:rsidR="00F07BF7" w:rsidRPr="00F07BF7" w:rsidRDefault="00F07BF7" w:rsidP="00F07BF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5157E94C" w14:textId="77777777" w:rsidR="00F07BF7" w:rsidRPr="00F07BF7" w:rsidRDefault="00F07BF7" w:rsidP="00F07BF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349DF63C" w14:textId="77777777" w:rsidR="00F07BF7" w:rsidRPr="00F07BF7" w:rsidRDefault="00F07BF7" w:rsidP="00F07BF7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F07BF7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2AFC1C50" w14:textId="77777777" w:rsidR="00F07BF7" w:rsidRPr="00F07BF7" w:rsidRDefault="00F07BF7" w:rsidP="00F07BF7">
      <w:pPr>
        <w:numPr>
          <w:ilvl w:val="0"/>
          <w:numId w:val="4"/>
        </w:numPr>
        <w:spacing w:after="0" w:line="240" w:lineRule="auto"/>
        <w:ind w:left="0"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F07BF7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24D6EB9A" w14:textId="77777777" w:rsidR="00F07BF7" w:rsidRPr="00F07BF7" w:rsidRDefault="00F07BF7" w:rsidP="00F07BF7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07BF7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641931CF" w14:textId="77777777" w:rsidR="00F07BF7" w:rsidRPr="00F07BF7" w:rsidRDefault="00F07BF7" w:rsidP="00F07BF7">
      <w:pPr>
        <w:numPr>
          <w:ilvl w:val="0"/>
          <w:numId w:val="4"/>
        </w:numPr>
        <w:tabs>
          <w:tab w:val="left" w:pos="1170"/>
        </w:tabs>
        <w:spacing w:after="0" w:line="240" w:lineRule="auto"/>
        <w:ind w:left="0"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F07BF7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3598BB40" w14:textId="77777777" w:rsidR="00F07BF7" w:rsidRPr="00F07BF7" w:rsidRDefault="00F07BF7" w:rsidP="00F07BF7">
      <w:pPr>
        <w:numPr>
          <w:ilvl w:val="0"/>
          <w:numId w:val="4"/>
        </w:numPr>
        <w:tabs>
          <w:tab w:val="left" w:pos="39"/>
        </w:tabs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</w:pPr>
      <w:r w:rsidRPr="00F07BF7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Стивен П. Роббинс, Тимати А. Джадж   </w:t>
      </w:r>
      <w:r w:rsidRPr="00F07BF7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3F54530D" w14:textId="77777777" w:rsidR="00F07BF7" w:rsidRPr="00F07BF7" w:rsidRDefault="00F07BF7" w:rsidP="00F07BF7">
      <w:pPr>
        <w:numPr>
          <w:ilvl w:val="0"/>
          <w:numId w:val="4"/>
        </w:numPr>
        <w:tabs>
          <w:tab w:val="left" w:pos="39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F07BF7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Р. У. Гриффин Менеджмент = Management  - Астана: "Ұлттық аударма бюросы" ҚҚ, 2018 - 766 б.</w:t>
      </w:r>
    </w:p>
    <w:p w14:paraId="2102FA88" w14:textId="77777777" w:rsidR="00F07BF7" w:rsidRPr="00F07BF7" w:rsidRDefault="00F07BF7" w:rsidP="00F07BF7">
      <w:pPr>
        <w:numPr>
          <w:ilvl w:val="0"/>
          <w:numId w:val="4"/>
        </w:numPr>
        <w:tabs>
          <w:tab w:val="left" w:pos="39"/>
        </w:tabs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F07BF7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A5200F6" w14:textId="77777777" w:rsidR="00F07BF7" w:rsidRPr="00F07BF7" w:rsidRDefault="00F07BF7" w:rsidP="00F07BF7">
      <w:pPr>
        <w:numPr>
          <w:ilvl w:val="0"/>
          <w:numId w:val="4"/>
        </w:numPr>
        <w:tabs>
          <w:tab w:val="left" w:pos="39"/>
        </w:tabs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F07BF7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0"/>
      <w:commentRangeEnd w:id="0"/>
      <w:r w:rsidRPr="00F07BF7">
        <w:rPr>
          <w:rFonts w:ascii="Times New Roman" w:hAnsi="Times New Roman" w:cs="Times New Roman"/>
          <w:sz w:val="20"/>
          <w:szCs w:val="20"/>
        </w:rPr>
        <w:commentReference w:id="0"/>
      </w:r>
    </w:p>
    <w:p w14:paraId="06FB90C6" w14:textId="77777777" w:rsidR="00F07BF7" w:rsidRPr="00F07BF7" w:rsidRDefault="00F07BF7" w:rsidP="00F07BF7">
      <w:pPr>
        <w:numPr>
          <w:ilvl w:val="0"/>
          <w:numId w:val="4"/>
        </w:numPr>
        <w:tabs>
          <w:tab w:val="left" w:pos="1110"/>
        </w:tabs>
        <w:spacing w:after="0" w:line="240" w:lineRule="auto"/>
        <w:ind w:left="0" w:firstLine="360"/>
        <w:contextualSpacing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F07BF7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7BEDA044" w14:textId="77777777" w:rsidR="00F07BF7" w:rsidRPr="00F07BF7" w:rsidRDefault="00F07BF7" w:rsidP="00F07BF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07BF7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        9. Шваб, Клаус.Төртінші индустриялық революция  = The Fourth Industrial Revolution : [монография] - Астана: "Ұлттық аударма бюросы" ҚҚ, 2018- 198 б. </w:t>
      </w:r>
    </w:p>
    <w:p w14:paraId="662A5493" w14:textId="77777777" w:rsidR="00F07BF7" w:rsidRPr="00F07BF7" w:rsidRDefault="00F07BF7" w:rsidP="00F07BF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07BF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0FB7F9F" w14:textId="77777777" w:rsidR="00F07BF7" w:rsidRPr="00F07BF7" w:rsidRDefault="00F07BF7" w:rsidP="00F07BF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07BF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4B5B9FAC" w14:textId="77777777" w:rsidR="00F07BF7" w:rsidRPr="00F07BF7" w:rsidRDefault="00F07BF7" w:rsidP="00F07BF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07BF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12. Президенттік жастар кадр резерві туралы//ҚР Президентінің 2021 жылғы 18 мамырдағы №580 Жарлығы </w:t>
      </w:r>
    </w:p>
    <w:p w14:paraId="15096A12" w14:textId="77777777" w:rsidR="00F07BF7" w:rsidRPr="00F07BF7" w:rsidRDefault="00F07BF7" w:rsidP="00F07BF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F07BF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2536F8A7" w14:textId="77777777" w:rsidR="00F07BF7" w:rsidRPr="00F07BF7" w:rsidRDefault="00F07BF7" w:rsidP="00F07BF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48EDD66A" w14:textId="77777777" w:rsidR="00F07BF7" w:rsidRPr="00F07BF7" w:rsidRDefault="00F07BF7" w:rsidP="00F07BF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67477FBD" w14:textId="77777777" w:rsidR="00F07BF7" w:rsidRPr="00F07BF7" w:rsidRDefault="00F07BF7" w:rsidP="00F07BF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F07BF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3CFC70B1" w14:textId="77777777" w:rsidR="00F07BF7" w:rsidRPr="00F07BF7" w:rsidRDefault="00F07BF7" w:rsidP="00F07BF7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F07BF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F07BF7">
        <w:t xml:space="preserve"> </w:t>
      </w:r>
      <w:r w:rsidRPr="00F07BF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3B7C19E2" w14:textId="77777777" w:rsidR="00F07BF7" w:rsidRPr="00F07BF7" w:rsidRDefault="00F07BF7" w:rsidP="00F07BF7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F07BF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22F9B5F1" w14:textId="77777777" w:rsidR="00F07BF7" w:rsidRPr="00F07BF7" w:rsidRDefault="00F07BF7" w:rsidP="00F07BF7">
      <w:pPr>
        <w:spacing w:after="0" w:line="240" w:lineRule="auto"/>
        <w:ind w:firstLine="2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07BF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3.</w:t>
      </w:r>
      <w:r w:rsidRPr="00F07BF7">
        <w:rPr>
          <w:lang w:val="en-US"/>
        </w:rPr>
        <w:t xml:space="preserve"> </w:t>
      </w:r>
      <w:r w:rsidRPr="00F07BF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https://egemen.kz</w:t>
      </w:r>
    </w:p>
    <w:p w14:paraId="5E1804E4" w14:textId="77777777" w:rsidR="00F12C76" w:rsidRPr="006C4E12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6C4E1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al Abraliyev" w:date="2021-01-30T19:29:00Z" w:initials="OA">
    <w:p w14:paraId="60C592ED" w14:textId="77777777" w:rsidR="00F07BF7" w:rsidRDefault="00F07BF7" w:rsidP="00F07BF7">
      <w:pPr>
        <w:pStyle w:val="af4"/>
      </w:pPr>
      <w:r>
        <w:rPr>
          <w:rStyle w:val="af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C592E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E3B5" w16cex:dateUtc="2021-09-1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C592ED" w16cid:durableId="24E8E3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33C3"/>
    <w:multiLevelType w:val="hybridMultilevel"/>
    <w:tmpl w:val="875A0004"/>
    <w:lvl w:ilvl="0" w:tplc="0E949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5165C"/>
    <w:multiLevelType w:val="multilevel"/>
    <w:tmpl w:val="0AA4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9252C"/>
    <w:multiLevelType w:val="hybridMultilevel"/>
    <w:tmpl w:val="F8F4578E"/>
    <w:lvl w:ilvl="0" w:tplc="42F2A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668182">
    <w:abstractNumId w:val="2"/>
  </w:num>
  <w:num w:numId="2" w16cid:durableId="1731493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685579">
    <w:abstractNumId w:val="5"/>
  </w:num>
  <w:num w:numId="4" w16cid:durableId="315182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393896">
    <w:abstractNumId w:val="1"/>
  </w:num>
  <w:num w:numId="6" w16cid:durableId="10485867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56"/>
    <w:rsid w:val="002D6734"/>
    <w:rsid w:val="006966F2"/>
    <w:rsid w:val="006C0B77"/>
    <w:rsid w:val="006C4E12"/>
    <w:rsid w:val="006F1C33"/>
    <w:rsid w:val="007F0F56"/>
    <w:rsid w:val="008242FF"/>
    <w:rsid w:val="00870751"/>
    <w:rsid w:val="00922C48"/>
    <w:rsid w:val="00B915B7"/>
    <w:rsid w:val="00EA59DF"/>
    <w:rsid w:val="00EE4070"/>
    <w:rsid w:val="00F07BF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956C"/>
  <w15:chartTrackingRefBased/>
  <w15:docId w15:val="{38FF60DD-E709-49F9-9678-4430058E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734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paragraph" w:styleId="af4">
    <w:name w:val="annotation text"/>
    <w:basedOn w:val="a"/>
    <w:link w:val="af5"/>
    <w:uiPriority w:val="99"/>
    <w:semiHidden/>
    <w:unhideWhenUsed/>
    <w:rsid w:val="006C4E1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C4E12"/>
    <w:rPr>
      <w:sz w:val="20"/>
      <w:szCs w:val="20"/>
    </w:rPr>
  </w:style>
  <w:style w:type="character" w:styleId="af6">
    <w:name w:val="annotation reference"/>
    <w:basedOn w:val="a0"/>
    <w:uiPriority w:val="99"/>
    <w:semiHidden/>
    <w:unhideWhenUsed/>
    <w:rsid w:val="006C4E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1425</Words>
  <Characters>8126</Characters>
  <Application>Microsoft Office Word</Application>
  <DocSecurity>0</DocSecurity>
  <Lines>67</Lines>
  <Paragraphs>19</Paragraphs>
  <ScaleCrop>false</ScaleCrop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5</cp:revision>
  <dcterms:created xsi:type="dcterms:W3CDTF">2021-09-23T05:51:00Z</dcterms:created>
  <dcterms:modified xsi:type="dcterms:W3CDTF">2022-09-18T10:00:00Z</dcterms:modified>
</cp:coreProperties>
</file>